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AF5B84">
      <w:pPr>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广东隆达铝业有限公司</w:t>
      </w:r>
    </w:p>
    <w:p w14:paraId="02569599">
      <w:pPr>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温室气体减排内容及计划</w:t>
      </w:r>
    </w:p>
    <w:p w14:paraId="4EB5BC5D">
      <w:pPr>
        <w:numPr>
          <w:ilvl w:val="0"/>
          <w:numId w:val="1"/>
        </w:numPr>
        <w:spacing w:before="312" w:beforeLines="100" w:line="500" w:lineRule="exact"/>
        <w:rPr>
          <w:rFonts w:hint="eastAsia" w:ascii="宋体" w:hAnsi="宋体" w:eastAsia="宋体" w:cs="宋体"/>
          <w:b/>
          <w:bCs/>
          <w:sz w:val="28"/>
          <w:szCs w:val="28"/>
        </w:rPr>
      </w:pPr>
      <w:r>
        <w:rPr>
          <w:rFonts w:ascii="宋体" w:hAnsi="宋体" w:eastAsia="宋体" w:cs="宋体"/>
          <w:b/>
          <w:bCs/>
          <w:sz w:val="28"/>
          <w:szCs w:val="28"/>
        </w:rPr>
        <w:t>原料</w:t>
      </w:r>
      <w:bookmarkStart w:id="0" w:name="_GoBack"/>
      <w:bookmarkEnd w:id="0"/>
    </w:p>
    <w:p w14:paraId="686635E7">
      <w:pPr>
        <w:numPr>
          <w:ilvl w:val="0"/>
          <w:numId w:val="2"/>
        </w:numPr>
        <w:spacing w:before="156" w:beforeLines="50" w:line="500" w:lineRule="exact"/>
        <w:rPr>
          <w:rFonts w:hint="eastAsia" w:ascii="宋体" w:hAnsi="宋体" w:eastAsia="宋体" w:cs="宋体"/>
          <w:sz w:val="28"/>
          <w:szCs w:val="28"/>
        </w:rPr>
      </w:pPr>
      <w:r>
        <w:rPr>
          <w:rFonts w:hint="eastAsia" w:ascii="宋体" w:hAnsi="宋体" w:cs="宋体"/>
          <w:sz w:val="28"/>
          <w:szCs w:val="28"/>
        </w:rPr>
        <w:t>提高循环再生材料的使用比例，开发高性价比原料，减少原铝使用。</w:t>
      </w:r>
    </w:p>
    <w:p w14:paraId="5BF38A9B">
      <w:pPr>
        <w:numPr>
          <w:ilvl w:val="0"/>
          <w:numId w:val="2"/>
        </w:numPr>
        <w:spacing w:before="156" w:beforeLines="50" w:line="500" w:lineRule="exact"/>
        <w:rPr>
          <w:rFonts w:hint="eastAsia" w:ascii="宋体" w:hAnsi="宋体" w:eastAsia="宋体" w:cs="宋体"/>
          <w:sz w:val="28"/>
          <w:szCs w:val="28"/>
        </w:rPr>
      </w:pPr>
      <w:r>
        <w:rPr>
          <w:rFonts w:hint="eastAsia" w:ascii="宋体" w:hAnsi="宋体" w:eastAsia="宋体" w:cs="宋体"/>
          <w:sz w:val="28"/>
          <w:szCs w:val="28"/>
        </w:rPr>
        <w:t>开拓用料思路，推进全系列产品再生化进程，废旧原料循环利用综合比例目标71%</w:t>
      </w:r>
      <w:r>
        <w:rPr>
          <w:rFonts w:hint="eastAsia" w:ascii="宋体" w:hAnsi="宋体" w:eastAsia="宋体" w:cs="宋体"/>
          <w:sz w:val="28"/>
          <w:szCs w:val="28"/>
          <w:lang w:eastAsia="zh-CN"/>
        </w:rPr>
        <w:t>，</w:t>
      </w:r>
      <w:r>
        <w:rPr>
          <w:rFonts w:hint="eastAsia" w:ascii="宋体" w:hAnsi="宋体" w:eastAsia="宋体" w:cs="宋体"/>
          <w:sz w:val="28"/>
          <w:szCs w:val="28"/>
        </w:rPr>
        <w:t>达成降碳、降本的目的</w:t>
      </w:r>
      <w:r>
        <w:rPr>
          <w:rFonts w:hint="eastAsia" w:ascii="宋体" w:hAnsi="宋体" w:eastAsia="宋体" w:cs="宋体"/>
          <w:sz w:val="28"/>
          <w:szCs w:val="28"/>
          <w:lang w:eastAsia="zh-CN"/>
        </w:rPr>
        <w:t>。</w:t>
      </w:r>
    </w:p>
    <w:p w14:paraId="2A18A4F7">
      <w:pPr>
        <w:spacing w:before="156" w:beforeLines="50" w:line="500" w:lineRule="exact"/>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、注重工艺完善，推进设备升级，提高产品成品率，降低单吨能耗，提高原料回收率，降低铝灰含铝量。</w:t>
      </w:r>
      <w:r>
        <w:rPr>
          <w:rFonts w:ascii="宋体" w:hAnsi="宋体" w:eastAsia="宋体" w:cs="宋体"/>
          <w:sz w:val="28"/>
          <w:szCs w:val="28"/>
        </w:rPr>
        <w:t xml:space="preserve">。 </w:t>
      </w:r>
    </w:p>
    <w:p w14:paraId="0E7D66C8">
      <w:pPr>
        <w:spacing w:before="312" w:beforeLines="100" w:line="500" w:lineRule="exact"/>
        <w:rPr>
          <w:rFonts w:ascii="宋体" w:hAnsi="宋体" w:eastAsia="宋体" w:cs="宋体"/>
          <w:b/>
          <w:bCs/>
          <w:sz w:val="28"/>
          <w:szCs w:val="28"/>
        </w:rPr>
      </w:pPr>
      <w:r>
        <w:rPr>
          <w:rFonts w:ascii="宋体" w:hAnsi="宋体" w:eastAsia="宋体" w:cs="宋体"/>
          <w:b/>
          <w:bCs/>
          <w:sz w:val="28"/>
          <w:szCs w:val="28"/>
        </w:rPr>
        <w:t xml:space="preserve">二、生产过程 </w:t>
      </w:r>
    </w:p>
    <w:p w14:paraId="7889154F">
      <w:pPr>
        <w:keepNext w:val="0"/>
        <w:keepLines w:val="0"/>
        <w:pageBreakBefore w:val="0"/>
        <w:widowControl w:val="0"/>
        <w:kinsoku/>
        <w:wordWrap/>
        <w:overflowPunct/>
        <w:topLinePunct w:val="0"/>
        <w:autoSpaceDE/>
        <w:autoSpaceDN/>
        <w:bidi w:val="0"/>
        <w:adjustRightInd/>
        <w:snapToGrid/>
        <w:spacing w:before="312" w:beforeLines="100" w:line="500" w:lineRule="exact"/>
        <w:textAlignment w:val="auto"/>
        <w:rPr>
          <w:rFonts w:hint="eastAsia" w:asciiTheme="minorEastAsia" w:hAnsiTheme="minorEastAsia" w:eastAsiaTheme="minorEastAsia" w:cstheme="minorEastAsia"/>
          <w:b w:val="0"/>
          <w:bCs w:val="0"/>
          <w:sz w:val="28"/>
          <w:szCs w:val="28"/>
          <w:highlight w:val="none"/>
          <w:lang w:eastAsia="zh-CN"/>
        </w:rPr>
      </w:pPr>
      <w:r>
        <w:rPr>
          <w:rFonts w:hint="eastAsia" w:asciiTheme="minorEastAsia" w:hAnsiTheme="minorEastAsia" w:eastAsiaTheme="minorEastAsia" w:cstheme="minorEastAsia"/>
          <w:b w:val="0"/>
          <w:bCs w:val="0"/>
          <w:sz w:val="28"/>
          <w:szCs w:val="28"/>
          <w:highlight w:val="none"/>
          <w:lang w:val="en-US" w:eastAsia="zh-CN"/>
        </w:rPr>
        <w:t>1、</w:t>
      </w:r>
      <w:r>
        <w:rPr>
          <w:rFonts w:hint="eastAsia" w:asciiTheme="minorEastAsia" w:hAnsiTheme="minorEastAsia" w:eastAsiaTheme="minorEastAsia" w:cstheme="minorEastAsia"/>
          <w:b w:val="0"/>
          <w:bCs w:val="0"/>
          <w:sz w:val="28"/>
          <w:szCs w:val="28"/>
          <w:highlight w:val="none"/>
        </w:rPr>
        <w:t>合理安排炉组生产节拍、提效率，炉组产能充分发挥，减少无效环节和浪费，</w:t>
      </w:r>
      <w:r>
        <w:rPr>
          <w:rFonts w:hint="eastAsia" w:asciiTheme="minorEastAsia" w:hAnsiTheme="minorEastAsia" w:eastAsiaTheme="minorEastAsia" w:cstheme="minorEastAsia"/>
          <w:b w:val="0"/>
          <w:bCs w:val="0"/>
          <w:sz w:val="28"/>
          <w:szCs w:val="28"/>
          <w:highlight w:val="none"/>
          <w:lang w:val="en-US" w:eastAsia="zh-CN"/>
        </w:rPr>
        <w:t>燃耗目标</w:t>
      </w:r>
      <w:r>
        <w:rPr>
          <w:rFonts w:hint="eastAsia" w:asciiTheme="minorEastAsia" w:hAnsiTheme="minorEastAsia" w:eastAsiaTheme="minorEastAsia" w:cstheme="minorEastAsia"/>
          <w:b w:val="0"/>
          <w:bCs w:val="0"/>
          <w:sz w:val="28"/>
          <w:szCs w:val="28"/>
          <w:highlight w:val="none"/>
          <w:lang w:eastAsia="zh-CN"/>
        </w:rPr>
        <w:t>单吨产品燃耗</w:t>
      </w:r>
      <w:r>
        <w:rPr>
          <w:rFonts w:hint="eastAsia" w:asciiTheme="minorEastAsia" w:hAnsiTheme="minorEastAsia" w:eastAsiaTheme="minorEastAsia" w:cstheme="minorEastAsia"/>
          <w:b w:val="0"/>
          <w:bCs w:val="0"/>
          <w:sz w:val="28"/>
          <w:szCs w:val="28"/>
          <w:highlight w:val="none"/>
          <w:lang w:val="en-US" w:eastAsia="zh-CN"/>
        </w:rPr>
        <w:t>在2023年基础上下降</w:t>
      </w:r>
      <w:r>
        <w:rPr>
          <w:rFonts w:hint="eastAsia" w:asciiTheme="minorEastAsia" w:hAnsiTheme="minorEastAsia" w:eastAsiaTheme="minorEastAsia" w:cstheme="minorEastAsia"/>
          <w:b w:val="0"/>
          <w:bCs w:val="0"/>
          <w:sz w:val="28"/>
          <w:szCs w:val="28"/>
          <w:highlight w:val="none"/>
        </w:rPr>
        <w:t>1</w:t>
      </w:r>
      <w:r>
        <w:rPr>
          <w:rFonts w:hint="eastAsia" w:asciiTheme="minorEastAsia" w:hAnsiTheme="minorEastAsia" w:eastAsiaTheme="minorEastAsia" w:cstheme="minorEastAsia"/>
          <w:b w:val="0"/>
          <w:bCs w:val="0"/>
          <w:sz w:val="28"/>
          <w:szCs w:val="28"/>
          <w:highlight w:val="none"/>
          <w:lang w:eastAsia="zh-CN"/>
        </w:rPr>
        <w:t>（</w:t>
      </w:r>
      <w:r>
        <w:rPr>
          <w:rFonts w:hint="eastAsia" w:asciiTheme="minorEastAsia" w:hAnsiTheme="minorEastAsia" w:eastAsiaTheme="minorEastAsia" w:cstheme="minorEastAsia"/>
          <w:b w:val="0"/>
          <w:bCs w:val="0"/>
          <w:sz w:val="28"/>
          <w:szCs w:val="28"/>
          <w:highlight w:val="none"/>
          <w:lang w:val="en-US" w:eastAsia="zh-CN"/>
        </w:rPr>
        <w:t>m³</w:t>
      </w:r>
      <w:r>
        <w:rPr>
          <w:rFonts w:hint="eastAsia" w:asciiTheme="minorEastAsia" w:hAnsiTheme="minorEastAsia" w:eastAsiaTheme="minorEastAsia" w:cstheme="minorEastAsia"/>
          <w:b w:val="0"/>
          <w:bCs w:val="0"/>
          <w:sz w:val="28"/>
          <w:szCs w:val="28"/>
          <w:highlight w:val="none"/>
          <w:lang w:eastAsia="zh-CN"/>
        </w:rPr>
        <w:t>/</w:t>
      </w:r>
      <w:r>
        <w:rPr>
          <w:rFonts w:hint="eastAsia" w:asciiTheme="minorEastAsia" w:hAnsiTheme="minorEastAsia" w:eastAsiaTheme="minorEastAsia" w:cstheme="minorEastAsia"/>
          <w:b w:val="0"/>
          <w:bCs w:val="0"/>
          <w:sz w:val="28"/>
          <w:szCs w:val="28"/>
          <w:highlight w:val="none"/>
          <w:lang w:val="en-US" w:eastAsia="zh-CN"/>
        </w:rPr>
        <w:t>t</w:t>
      </w:r>
      <w:r>
        <w:rPr>
          <w:rFonts w:hint="eastAsia" w:asciiTheme="minorEastAsia" w:hAnsiTheme="minorEastAsia" w:eastAsiaTheme="minorEastAsia" w:cstheme="minorEastAsia"/>
          <w:b w:val="0"/>
          <w:bCs w:val="0"/>
          <w:sz w:val="28"/>
          <w:szCs w:val="28"/>
          <w:highlight w:val="none"/>
          <w:lang w:eastAsia="zh-CN"/>
        </w:rPr>
        <w:t>)</w:t>
      </w:r>
      <w:r>
        <w:rPr>
          <w:rFonts w:hint="eastAsia" w:asciiTheme="minorEastAsia" w:hAnsiTheme="minorEastAsia" w:cstheme="minorEastAsia"/>
          <w:b w:val="0"/>
          <w:bCs w:val="0"/>
          <w:sz w:val="28"/>
          <w:szCs w:val="28"/>
          <w:highlight w:val="none"/>
          <w:lang w:eastAsia="zh-CN"/>
        </w:rPr>
        <w:t>。</w:t>
      </w:r>
    </w:p>
    <w:p w14:paraId="52D57253">
      <w:pPr>
        <w:keepNext w:val="0"/>
        <w:keepLines w:val="0"/>
        <w:pageBreakBefore w:val="0"/>
        <w:widowControl w:val="0"/>
        <w:kinsoku/>
        <w:wordWrap/>
        <w:overflowPunct/>
        <w:topLinePunct w:val="0"/>
        <w:autoSpaceDE/>
        <w:autoSpaceDN/>
        <w:bidi w:val="0"/>
        <w:adjustRightInd/>
        <w:snapToGrid/>
        <w:spacing w:before="312" w:beforeLines="100" w:line="500" w:lineRule="exact"/>
        <w:textAlignment w:val="auto"/>
        <w:rPr>
          <w:rFonts w:hint="eastAsia" w:asciiTheme="minorEastAsia" w:hAnsiTheme="minorEastAsia" w:eastAsiaTheme="minorEastAsia" w:cstheme="minorEastAsia"/>
          <w:b w:val="0"/>
          <w:bCs w:val="0"/>
          <w:sz w:val="28"/>
          <w:szCs w:val="28"/>
          <w:highlight w:val="none"/>
          <w:lang w:eastAsia="zh-CN"/>
        </w:rPr>
      </w:pPr>
      <w:r>
        <w:rPr>
          <w:rFonts w:hint="eastAsia" w:asciiTheme="minorEastAsia" w:hAnsiTheme="minorEastAsia" w:eastAsiaTheme="minorEastAsia" w:cstheme="minorEastAsia"/>
          <w:b w:val="0"/>
          <w:bCs w:val="0"/>
          <w:sz w:val="28"/>
          <w:szCs w:val="28"/>
          <w:highlight w:val="none"/>
          <w:lang w:val="en-US" w:eastAsia="zh-CN"/>
        </w:rPr>
        <w:t>2、</w:t>
      </w:r>
      <w:r>
        <w:rPr>
          <w:rFonts w:hint="eastAsia" w:asciiTheme="minorEastAsia" w:hAnsiTheme="minorEastAsia" w:eastAsiaTheme="minorEastAsia" w:cstheme="minorEastAsia"/>
          <w:b w:val="0"/>
          <w:bCs w:val="0"/>
          <w:sz w:val="28"/>
          <w:szCs w:val="28"/>
          <w:highlight w:val="none"/>
        </w:rPr>
        <w:t>202</w:t>
      </w:r>
      <w:r>
        <w:rPr>
          <w:rFonts w:hint="eastAsia" w:asciiTheme="minorEastAsia" w:hAnsiTheme="minorEastAsia" w:eastAsiaTheme="minorEastAsia" w:cstheme="minorEastAsia"/>
          <w:b w:val="0"/>
          <w:bCs w:val="0"/>
          <w:sz w:val="28"/>
          <w:szCs w:val="28"/>
          <w:highlight w:val="none"/>
          <w:lang w:val="en-US" w:eastAsia="zh-CN"/>
        </w:rPr>
        <w:t>4</w:t>
      </w:r>
      <w:r>
        <w:rPr>
          <w:rFonts w:hint="eastAsia" w:asciiTheme="minorEastAsia" w:hAnsiTheme="minorEastAsia" w:eastAsiaTheme="minorEastAsia" w:cstheme="minorEastAsia"/>
          <w:b w:val="0"/>
          <w:bCs w:val="0"/>
          <w:sz w:val="28"/>
          <w:szCs w:val="28"/>
          <w:highlight w:val="none"/>
        </w:rPr>
        <w:t>年购置5台电瓶叉车替换燃油叉车</w:t>
      </w:r>
      <w:r>
        <w:rPr>
          <w:rFonts w:hint="eastAsia" w:asciiTheme="minorEastAsia" w:hAnsiTheme="minorEastAsia" w:eastAsiaTheme="minorEastAsia" w:cstheme="minorEastAsia"/>
          <w:b w:val="0"/>
          <w:bCs w:val="0"/>
          <w:sz w:val="28"/>
          <w:szCs w:val="28"/>
          <w:highlight w:val="none"/>
          <w:lang w:eastAsia="zh-CN"/>
        </w:rPr>
        <w:t>，单吨产品油耗</w:t>
      </w:r>
      <w:r>
        <w:rPr>
          <w:rFonts w:hint="eastAsia" w:asciiTheme="minorEastAsia" w:hAnsiTheme="minorEastAsia" w:eastAsiaTheme="minorEastAsia" w:cstheme="minorEastAsia"/>
          <w:b w:val="0"/>
          <w:bCs w:val="0"/>
          <w:sz w:val="28"/>
          <w:szCs w:val="28"/>
          <w:highlight w:val="none"/>
          <w:lang w:val="en-US" w:eastAsia="zh-CN"/>
        </w:rPr>
        <w:t>目标在2023年基础上下降0.5</w:t>
      </w:r>
      <w:r>
        <w:rPr>
          <w:rFonts w:hint="eastAsia" w:asciiTheme="minorEastAsia" w:hAnsiTheme="minorEastAsia" w:eastAsiaTheme="minorEastAsia" w:cstheme="minorEastAsia"/>
          <w:b w:val="0"/>
          <w:bCs w:val="0"/>
          <w:sz w:val="28"/>
          <w:szCs w:val="28"/>
          <w:highlight w:val="none"/>
          <w:lang w:eastAsia="zh-CN"/>
        </w:rPr>
        <w:t>（</w:t>
      </w:r>
      <w:r>
        <w:rPr>
          <w:rFonts w:hint="eastAsia" w:asciiTheme="minorEastAsia" w:hAnsiTheme="minorEastAsia" w:eastAsiaTheme="minorEastAsia" w:cstheme="minorEastAsia"/>
          <w:b w:val="0"/>
          <w:bCs w:val="0"/>
          <w:sz w:val="28"/>
          <w:szCs w:val="28"/>
          <w:highlight w:val="none"/>
          <w:lang w:val="en-US" w:eastAsia="zh-CN"/>
        </w:rPr>
        <w:t>L</w:t>
      </w:r>
      <w:r>
        <w:rPr>
          <w:rFonts w:hint="eastAsia" w:asciiTheme="minorEastAsia" w:hAnsiTheme="minorEastAsia" w:eastAsiaTheme="minorEastAsia" w:cstheme="minorEastAsia"/>
          <w:b w:val="0"/>
          <w:bCs w:val="0"/>
          <w:sz w:val="28"/>
          <w:szCs w:val="28"/>
          <w:highlight w:val="none"/>
          <w:lang w:eastAsia="zh-CN"/>
        </w:rPr>
        <w:t>/</w:t>
      </w:r>
      <w:r>
        <w:rPr>
          <w:rFonts w:hint="eastAsia" w:asciiTheme="minorEastAsia" w:hAnsiTheme="minorEastAsia" w:eastAsiaTheme="minorEastAsia" w:cstheme="minorEastAsia"/>
          <w:b w:val="0"/>
          <w:bCs w:val="0"/>
          <w:sz w:val="28"/>
          <w:szCs w:val="28"/>
          <w:highlight w:val="none"/>
          <w:lang w:val="en-US" w:eastAsia="zh-CN"/>
        </w:rPr>
        <w:t>t</w:t>
      </w:r>
      <w:r>
        <w:rPr>
          <w:rFonts w:hint="eastAsia" w:asciiTheme="minorEastAsia" w:hAnsiTheme="minorEastAsia" w:eastAsiaTheme="minorEastAsia" w:cstheme="minorEastAsia"/>
          <w:b w:val="0"/>
          <w:bCs w:val="0"/>
          <w:sz w:val="28"/>
          <w:szCs w:val="28"/>
          <w:highlight w:val="none"/>
          <w:lang w:eastAsia="zh-CN"/>
        </w:rPr>
        <w:t>)</w:t>
      </w:r>
      <w:r>
        <w:rPr>
          <w:rFonts w:hint="eastAsia" w:asciiTheme="minorEastAsia" w:hAnsiTheme="minorEastAsia" w:cstheme="minorEastAsia"/>
          <w:b w:val="0"/>
          <w:bCs w:val="0"/>
          <w:sz w:val="28"/>
          <w:szCs w:val="28"/>
          <w:highlight w:val="none"/>
          <w:lang w:eastAsia="zh-CN"/>
        </w:rPr>
        <w:t>。</w:t>
      </w:r>
    </w:p>
    <w:p w14:paraId="450488C3">
      <w:pPr>
        <w:keepNext w:val="0"/>
        <w:keepLines w:val="0"/>
        <w:pageBreakBefore w:val="0"/>
        <w:widowControl w:val="0"/>
        <w:numPr>
          <w:ilvl w:val="0"/>
          <w:numId w:val="3"/>
        </w:numPr>
        <w:kinsoku/>
        <w:wordWrap/>
        <w:overflowPunct/>
        <w:topLinePunct w:val="0"/>
        <w:autoSpaceDE/>
        <w:autoSpaceDN/>
        <w:bidi w:val="0"/>
        <w:adjustRightInd/>
        <w:snapToGrid/>
        <w:spacing w:before="312" w:beforeLines="100" w:line="500" w:lineRule="exact"/>
        <w:textAlignment w:val="auto"/>
        <w:rPr>
          <w:rFonts w:hint="eastAsia" w:asciiTheme="minorEastAsia" w:hAnsiTheme="minorEastAsia" w:cstheme="minorEastAsia"/>
          <w:b w:val="0"/>
          <w:bCs w:val="0"/>
          <w:sz w:val="28"/>
          <w:szCs w:val="28"/>
          <w:highlight w:val="none"/>
          <w:lang w:val="en-US" w:eastAsia="zh-CN"/>
        </w:rPr>
      </w:pPr>
      <w:r>
        <w:rPr>
          <w:rFonts w:hint="eastAsia" w:asciiTheme="minorEastAsia" w:hAnsiTheme="minorEastAsia" w:cstheme="minorEastAsia"/>
          <w:b w:val="0"/>
          <w:bCs w:val="0"/>
          <w:sz w:val="28"/>
          <w:szCs w:val="28"/>
          <w:highlight w:val="none"/>
          <w:lang w:val="en-US" w:eastAsia="zh-CN"/>
        </w:rPr>
        <w:t>炉组节能改造对托普炉组进行程序改造，使炉组在进行加料扒灰等工艺时，风机停止、点火枪停止，降低电耗，年度节约2.25MWh。</w:t>
      </w:r>
    </w:p>
    <w:p w14:paraId="47BBD422">
      <w:pPr>
        <w:keepNext w:val="0"/>
        <w:keepLines w:val="0"/>
        <w:pageBreakBefore w:val="0"/>
        <w:widowControl w:val="0"/>
        <w:numPr>
          <w:ilvl w:val="0"/>
          <w:numId w:val="3"/>
        </w:numPr>
        <w:kinsoku/>
        <w:wordWrap/>
        <w:overflowPunct/>
        <w:topLinePunct w:val="0"/>
        <w:autoSpaceDE/>
        <w:autoSpaceDN/>
        <w:bidi w:val="0"/>
        <w:adjustRightInd/>
        <w:snapToGrid/>
        <w:spacing w:before="312" w:beforeLines="100" w:line="500" w:lineRule="exact"/>
        <w:textAlignment w:val="auto"/>
        <w:rPr>
          <w:rFonts w:hint="eastAsia" w:ascii="宋体" w:hAnsi="宋体" w:eastAsia="宋体" w:cs="宋体"/>
          <w:b w:val="0"/>
          <w:bCs w:val="0"/>
          <w:sz w:val="28"/>
          <w:szCs w:val="28"/>
        </w:rPr>
      </w:pPr>
      <w:r>
        <w:rPr>
          <w:rFonts w:hint="default" w:asciiTheme="minorEastAsia" w:hAnsiTheme="minorEastAsia" w:cstheme="minorEastAsia"/>
          <w:b w:val="0"/>
          <w:bCs w:val="0"/>
          <w:sz w:val="28"/>
          <w:szCs w:val="28"/>
          <w:highlight w:val="none"/>
          <w:lang w:val="en-US" w:eastAsia="zh-CN"/>
        </w:rPr>
        <w:t>除尘器电能改造更改程序使除尘器脉冲与之对应舱室卸灰阀一对一启动，以降低电量</w:t>
      </w:r>
      <w:r>
        <w:rPr>
          <w:rFonts w:hint="eastAsia" w:asciiTheme="minorEastAsia" w:hAnsiTheme="minorEastAsia" w:cstheme="minorEastAsia"/>
          <w:b w:val="0"/>
          <w:bCs w:val="0"/>
          <w:sz w:val="28"/>
          <w:szCs w:val="28"/>
          <w:highlight w:val="none"/>
          <w:lang w:val="en-US" w:eastAsia="zh-CN"/>
        </w:rPr>
        <w:t>年度约节约0.81MWh。</w:t>
      </w:r>
    </w:p>
    <w:p w14:paraId="392AFA7F">
      <w:pPr>
        <w:numPr>
          <w:ilvl w:val="0"/>
          <w:numId w:val="0"/>
        </w:numPr>
        <w:spacing w:before="312" w:beforeLines="100" w:line="500" w:lineRule="exact"/>
        <w:rPr>
          <w:rFonts w:hint="eastAsia" w:ascii="宋体" w:hAnsi="宋体" w:eastAsia="宋体" w:cs="宋体"/>
          <w:b w:val="0"/>
          <w:bCs w:val="0"/>
          <w:sz w:val="28"/>
          <w:szCs w:val="28"/>
        </w:rPr>
      </w:pPr>
      <w:r>
        <w:rPr>
          <w:rFonts w:hint="eastAsia" w:ascii="宋体" w:hAnsi="宋体" w:eastAsia="宋体" w:cs="宋体"/>
          <w:b w:val="0"/>
          <w:bCs w:val="0"/>
          <w:sz w:val="28"/>
          <w:szCs w:val="28"/>
          <w:lang w:val="en-US" w:eastAsia="zh-CN"/>
        </w:rPr>
        <w:t>5、</w:t>
      </w:r>
      <w:r>
        <w:rPr>
          <w:rFonts w:hint="eastAsia" w:ascii="宋体" w:hAnsi="宋体" w:eastAsia="宋体" w:cs="宋体"/>
          <w:b w:val="0"/>
          <w:bCs w:val="0"/>
          <w:sz w:val="28"/>
          <w:szCs w:val="28"/>
        </w:rPr>
        <w:t>持续推进生产指标考核，通过正负激励的方式，提升现场人员对于燃耗、损耗的管控意识。</w:t>
      </w:r>
    </w:p>
    <w:p w14:paraId="22D3F977">
      <w:pPr>
        <w:spacing w:before="312" w:beforeLines="100" w:line="500" w:lineRule="exact"/>
        <w:rPr>
          <w:rFonts w:hint="eastAsia" w:ascii="宋体" w:hAnsi="宋体" w:eastAsia="宋体" w:cs="宋体"/>
          <w:sz w:val="28"/>
          <w:szCs w:val="28"/>
        </w:rPr>
      </w:pPr>
      <w:r>
        <w:rPr>
          <w:rFonts w:ascii="宋体" w:hAnsi="宋体" w:eastAsia="宋体" w:cs="宋体"/>
          <w:b/>
          <w:bCs/>
          <w:sz w:val="28"/>
          <w:szCs w:val="28"/>
        </w:rPr>
        <w:t>三、能源资源</w:t>
      </w:r>
      <w:r>
        <w:rPr>
          <w:rFonts w:ascii="宋体" w:hAnsi="宋体" w:eastAsia="宋体" w:cs="宋体"/>
          <w:sz w:val="28"/>
          <w:szCs w:val="28"/>
        </w:rPr>
        <w:t xml:space="preserve"> </w:t>
      </w:r>
    </w:p>
    <w:p w14:paraId="39161ED3">
      <w:pPr>
        <w:spacing w:before="156" w:beforeLines="50" w:line="500" w:lineRule="exact"/>
        <w:rPr>
          <w:rFonts w:ascii="宋体" w:hAnsi="宋体" w:eastAsia="宋体" w:cs="宋体"/>
          <w:sz w:val="28"/>
          <w:szCs w:val="28"/>
        </w:rPr>
      </w:pPr>
      <w:r>
        <w:rPr>
          <w:rFonts w:hint="eastAsia" w:ascii="宋体" w:hAnsi="宋体" w:eastAsia="宋体" w:cs="宋体"/>
          <w:sz w:val="28"/>
          <w:szCs w:val="28"/>
        </w:rPr>
        <w:t>1、管理</w:t>
      </w:r>
      <w:r>
        <w:rPr>
          <w:rFonts w:ascii="宋体" w:hAnsi="宋体" w:eastAsia="宋体" w:cs="宋体"/>
          <w:sz w:val="28"/>
          <w:szCs w:val="28"/>
        </w:rPr>
        <w:t xml:space="preserve">部每月对公司水消耗情况进行汇总，形成《能资源消耗统计表》。 </w:t>
      </w:r>
    </w:p>
    <w:p w14:paraId="22429CDB">
      <w:pPr>
        <w:spacing w:before="156" w:beforeLines="50" w:line="500" w:lineRule="exact"/>
        <w:rPr>
          <w:rFonts w:hint="eastAsia" w:ascii="宋体" w:hAnsi="宋体" w:cs="宋体" w:eastAsiaTheme="minorEastAsia"/>
          <w:sz w:val="28"/>
          <w:szCs w:val="28"/>
          <w:lang w:val="en-US" w:eastAsia="zh-CN"/>
        </w:rPr>
      </w:pPr>
      <w:r>
        <w:rPr>
          <w:rFonts w:hint="eastAsia" w:ascii="宋体" w:hAnsi="宋体" w:eastAsia="宋体" w:cs="宋体"/>
          <w:sz w:val="28"/>
          <w:szCs w:val="28"/>
          <w:lang w:val="en-US" w:eastAsia="zh-CN"/>
        </w:rPr>
        <w:t>2、</w:t>
      </w:r>
      <w:r>
        <w:rPr>
          <w:rFonts w:hint="eastAsia" w:ascii="宋体" w:hAnsi="宋体" w:cs="宋体"/>
          <w:bCs/>
          <w:color w:val="auto"/>
          <w:kern w:val="0"/>
          <w:sz w:val="28"/>
          <w:szCs w:val="28"/>
        </w:rPr>
        <w:t>制造部</w:t>
      </w:r>
      <w:r>
        <w:rPr>
          <w:rFonts w:hint="eastAsia" w:ascii="宋体" w:hAnsi="宋体" w:cs="宋体"/>
          <w:bCs/>
          <w:color w:val="auto"/>
          <w:kern w:val="0"/>
          <w:sz w:val="28"/>
          <w:szCs w:val="28"/>
          <w:lang w:val="en-US" w:eastAsia="zh-CN"/>
        </w:rPr>
        <w:t>负责对</w:t>
      </w:r>
      <w:r>
        <w:rPr>
          <w:rFonts w:hint="eastAsia" w:ascii="宋体" w:hAnsi="宋体" w:cs="宋体"/>
          <w:bCs/>
          <w:color w:val="auto"/>
          <w:kern w:val="0"/>
          <w:sz w:val="28"/>
          <w:szCs w:val="28"/>
        </w:rPr>
        <w:t>公司电、天燃气、柴油等能源的消耗量进行统计</w:t>
      </w:r>
      <w:r>
        <w:rPr>
          <w:rFonts w:hint="eastAsia" w:ascii="宋体" w:hAnsi="宋体" w:cs="宋体"/>
          <w:bCs/>
          <w:color w:val="auto"/>
          <w:kern w:val="0"/>
          <w:sz w:val="28"/>
          <w:szCs w:val="28"/>
          <w:lang w:eastAsia="zh-CN"/>
        </w:rPr>
        <w:t>，</w:t>
      </w:r>
      <w:r>
        <w:rPr>
          <w:rFonts w:hint="eastAsia" w:ascii="宋体" w:hAnsi="宋体" w:cs="黑体"/>
          <w:bCs/>
          <w:kern w:val="0"/>
          <w:sz w:val="28"/>
          <w:szCs w:val="28"/>
          <w:lang w:val="en-US" w:eastAsia="zh-CN"/>
        </w:rPr>
        <w:t>次月中旬完成《能源消耗统计表》传递至质保部进行汇总。</w:t>
      </w:r>
    </w:p>
    <w:p w14:paraId="20A96144">
      <w:pPr>
        <w:spacing w:before="312" w:beforeLines="100" w:line="500" w:lineRule="exact"/>
        <w:rPr>
          <w:rFonts w:hint="eastAsia" w:ascii="宋体" w:hAnsi="宋体" w:eastAsia="宋体" w:cs="宋体"/>
          <w:b/>
          <w:bCs/>
          <w:sz w:val="28"/>
          <w:szCs w:val="28"/>
        </w:rPr>
      </w:pPr>
      <w:r>
        <w:rPr>
          <w:rFonts w:ascii="宋体" w:hAnsi="宋体" w:eastAsia="宋体" w:cs="宋体"/>
          <w:b/>
          <w:bCs/>
          <w:sz w:val="28"/>
          <w:szCs w:val="28"/>
        </w:rPr>
        <w:t xml:space="preserve">四、碳排放管理体系建设 </w:t>
      </w:r>
    </w:p>
    <w:p w14:paraId="1D0534AA">
      <w:pPr>
        <w:spacing w:before="156" w:beforeLines="50" w:line="500" w:lineRule="exact"/>
        <w:rPr>
          <w:rFonts w:hint="eastAsia" w:ascii="宋体" w:hAnsi="宋体" w:eastAsia="宋体" w:cs="宋体"/>
          <w:sz w:val="28"/>
          <w:szCs w:val="28"/>
        </w:rPr>
      </w:pPr>
      <w:r>
        <w:rPr>
          <w:rFonts w:ascii="宋体" w:hAnsi="宋体" w:eastAsia="宋体" w:cs="宋体"/>
          <w:sz w:val="28"/>
          <w:szCs w:val="28"/>
        </w:rPr>
        <w:t xml:space="preserve">1.加强公司体系建设，持续做好 ASI PS 认证、ISO14001 环境管理体系认证、IS014064 温室气体排放盘查与核查、ISO14067产品碳足迹认证。 </w:t>
      </w:r>
    </w:p>
    <w:p w14:paraId="6BC211C1">
      <w:pPr>
        <w:spacing w:before="156" w:beforeLines="50" w:line="500" w:lineRule="exact"/>
        <w:rPr>
          <w:rFonts w:hint="eastAsia" w:ascii="宋体" w:hAnsi="宋体" w:eastAsia="宋体" w:cs="宋体"/>
          <w:sz w:val="28"/>
          <w:szCs w:val="28"/>
        </w:rPr>
      </w:pPr>
      <w:r>
        <w:rPr>
          <w:rFonts w:ascii="宋体" w:hAnsi="宋体" w:eastAsia="宋体" w:cs="宋体"/>
          <w:sz w:val="28"/>
          <w:szCs w:val="28"/>
        </w:rPr>
        <w:t>2.制定碳减排目标：我公司作为地球公民的一份子，应《联合国气候变化</w:t>
      </w:r>
      <w:r>
        <w:rPr>
          <w:rFonts w:hint="eastAsia" w:ascii="宋体" w:hAnsi="宋体" w:eastAsia="宋体" w:cs="宋体"/>
          <w:sz w:val="28"/>
          <w:szCs w:val="28"/>
          <w:lang w:val="en-US" w:eastAsia="zh-CN"/>
        </w:rPr>
        <w:t>框架</w:t>
      </w:r>
      <w:r>
        <w:rPr>
          <w:rFonts w:ascii="宋体" w:hAnsi="宋体" w:eastAsia="宋体" w:cs="宋体"/>
          <w:sz w:val="28"/>
          <w:szCs w:val="28"/>
        </w:rPr>
        <w:t>公约》与《京都议定书》的国际规范及善尽企业责任，推动温室气体自愿减量相关计划，我公司计划 2025 年之前实现将二氧化碳排放量降比</w:t>
      </w:r>
      <w:r>
        <w:rPr>
          <w:rFonts w:hint="eastAsia" w:ascii="宋体" w:hAnsi="宋体" w:eastAsia="宋体" w:cs="宋体"/>
          <w:sz w:val="28"/>
          <w:szCs w:val="28"/>
        </w:rPr>
        <w:t>1</w:t>
      </w:r>
      <w:r>
        <w:rPr>
          <w:rFonts w:ascii="宋体" w:hAnsi="宋体" w:eastAsia="宋体" w:cs="宋体"/>
          <w:sz w:val="28"/>
          <w:szCs w:val="28"/>
        </w:rPr>
        <w:t xml:space="preserve">%。 </w:t>
      </w:r>
    </w:p>
    <w:p w14:paraId="0F301B91">
      <w:pPr>
        <w:spacing w:before="156" w:beforeLines="50" w:line="500" w:lineRule="exact"/>
        <w:rPr>
          <w:rFonts w:hint="eastAsia" w:ascii="宋体" w:hAnsi="宋体" w:eastAsia="宋体" w:cs="宋体"/>
          <w:sz w:val="28"/>
          <w:szCs w:val="28"/>
        </w:rPr>
      </w:pPr>
      <w:r>
        <w:rPr>
          <w:rFonts w:hint="eastAsia" w:ascii="宋体" w:hAnsi="宋体" w:eastAsia="宋体" w:cs="宋体"/>
          <w:sz w:val="28"/>
          <w:szCs w:val="28"/>
        </w:rPr>
        <w:t>公司已使用ASI实体级温室气体减排路径方法，依据2023年为基准年，计算2024-2027碳排放强度目标值。</w:t>
      </w:r>
    </w:p>
    <w:p w14:paraId="439E464B">
      <w:pPr>
        <w:spacing w:before="156" w:beforeLines="50" w:line="500" w:lineRule="exact"/>
        <w:ind w:firstLine="1968" w:firstLineChars="700"/>
        <w:rPr>
          <w:rFonts w:hint="eastAsia" w:ascii="宋体" w:hAnsi="宋体" w:eastAsia="宋体" w:cs="宋体"/>
          <w:sz w:val="28"/>
          <w:szCs w:val="28"/>
        </w:rPr>
      </w:pPr>
      <w:r>
        <w:rPr>
          <w:rFonts w:hint="eastAsia" w:ascii="宋体" w:hAnsi="宋体" w:eastAsia="宋体" w:cs="宋体"/>
          <w:b/>
          <w:bCs/>
          <w:sz w:val="28"/>
          <w:szCs w:val="28"/>
        </w:rPr>
        <w:t>2024-2027碳排放强度目标计划值</w:t>
      </w:r>
      <w:r>
        <w:rPr>
          <w:rFonts w:hint="eastAsia" w:ascii="宋体" w:hAnsi="宋体" w:eastAsia="宋体" w:cs="宋体"/>
          <w:sz w:val="28"/>
          <w:szCs w:val="28"/>
        </w:rPr>
        <w:t xml:space="preserve">       </w:t>
      </w:r>
      <w:r>
        <w:rPr>
          <w:rFonts w:hint="eastAsia" w:ascii="宋体" w:hAnsi="宋体" w:eastAsia="宋体" w:cs="宋体"/>
          <w:b/>
          <w:bCs/>
          <w:sz w:val="18"/>
          <w:szCs w:val="18"/>
        </w:rPr>
        <w:t>单位：tCO2e</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14:paraId="52C2A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14:paraId="29FB8310">
            <w:pPr>
              <w:spacing w:before="156" w:beforeLines="50" w:line="500" w:lineRule="exact"/>
              <w:jc w:val="center"/>
              <w:rPr>
                <w:rFonts w:hint="eastAsia" w:ascii="宋体" w:hAnsi="宋体" w:eastAsia="宋体" w:cs="宋体"/>
                <w:sz w:val="28"/>
                <w:szCs w:val="28"/>
              </w:rPr>
            </w:pPr>
            <w:r>
              <w:rPr>
                <w:rFonts w:hint="eastAsia" w:ascii="宋体" w:hAnsi="宋体" w:eastAsia="宋体" w:cs="宋体"/>
                <w:sz w:val="28"/>
                <w:szCs w:val="28"/>
              </w:rPr>
              <w:t>目标值</w:t>
            </w:r>
          </w:p>
        </w:tc>
        <w:tc>
          <w:tcPr>
            <w:tcW w:w="1420" w:type="dxa"/>
            <w:vAlign w:val="center"/>
          </w:tcPr>
          <w:p w14:paraId="30DFD228">
            <w:pPr>
              <w:spacing w:before="156" w:beforeLines="50" w:line="500" w:lineRule="exact"/>
              <w:jc w:val="center"/>
              <w:rPr>
                <w:rFonts w:hint="eastAsia" w:ascii="宋体" w:hAnsi="宋体" w:eastAsia="宋体" w:cs="宋体"/>
                <w:sz w:val="28"/>
                <w:szCs w:val="28"/>
              </w:rPr>
            </w:pPr>
            <w:r>
              <w:rPr>
                <w:rFonts w:hint="eastAsia" w:ascii="宋体" w:hAnsi="宋体" w:eastAsia="宋体" w:cs="宋体"/>
                <w:sz w:val="28"/>
                <w:szCs w:val="28"/>
              </w:rPr>
              <w:t>2023年</w:t>
            </w:r>
          </w:p>
        </w:tc>
        <w:tc>
          <w:tcPr>
            <w:tcW w:w="1420" w:type="dxa"/>
            <w:vAlign w:val="center"/>
          </w:tcPr>
          <w:p w14:paraId="158E1E1A">
            <w:pPr>
              <w:spacing w:before="156" w:beforeLines="50" w:line="500" w:lineRule="exact"/>
              <w:jc w:val="center"/>
              <w:rPr>
                <w:rFonts w:hint="eastAsia" w:ascii="宋体" w:hAnsi="宋体" w:eastAsia="宋体" w:cs="宋体"/>
                <w:sz w:val="28"/>
                <w:szCs w:val="28"/>
              </w:rPr>
            </w:pPr>
            <w:r>
              <w:rPr>
                <w:rFonts w:hint="eastAsia" w:ascii="宋体" w:hAnsi="宋体" w:eastAsia="宋体" w:cs="宋体"/>
                <w:sz w:val="28"/>
                <w:szCs w:val="28"/>
              </w:rPr>
              <w:t>2024年</w:t>
            </w:r>
          </w:p>
        </w:tc>
        <w:tc>
          <w:tcPr>
            <w:tcW w:w="1420" w:type="dxa"/>
            <w:vAlign w:val="center"/>
          </w:tcPr>
          <w:p w14:paraId="08258F8F">
            <w:pPr>
              <w:spacing w:before="156" w:beforeLines="50" w:line="500" w:lineRule="exact"/>
              <w:jc w:val="center"/>
              <w:rPr>
                <w:rFonts w:hint="eastAsia" w:ascii="宋体" w:hAnsi="宋体" w:eastAsia="宋体" w:cs="宋体"/>
                <w:sz w:val="28"/>
                <w:szCs w:val="28"/>
              </w:rPr>
            </w:pPr>
            <w:r>
              <w:rPr>
                <w:rFonts w:hint="eastAsia" w:ascii="宋体" w:hAnsi="宋体" w:eastAsia="宋体" w:cs="宋体"/>
                <w:sz w:val="28"/>
                <w:szCs w:val="28"/>
              </w:rPr>
              <w:t>2025年</w:t>
            </w:r>
          </w:p>
        </w:tc>
        <w:tc>
          <w:tcPr>
            <w:tcW w:w="1421" w:type="dxa"/>
            <w:vAlign w:val="center"/>
          </w:tcPr>
          <w:p w14:paraId="240118B3">
            <w:pPr>
              <w:spacing w:before="156" w:beforeLines="50" w:line="500" w:lineRule="exact"/>
              <w:jc w:val="center"/>
              <w:rPr>
                <w:rFonts w:hint="eastAsia" w:ascii="宋体" w:hAnsi="宋体" w:eastAsia="宋体" w:cs="宋体"/>
                <w:sz w:val="28"/>
                <w:szCs w:val="28"/>
              </w:rPr>
            </w:pPr>
            <w:r>
              <w:rPr>
                <w:rFonts w:hint="eastAsia" w:ascii="宋体" w:hAnsi="宋体" w:eastAsia="宋体" w:cs="宋体"/>
                <w:sz w:val="28"/>
                <w:szCs w:val="28"/>
              </w:rPr>
              <w:t>2026年</w:t>
            </w:r>
          </w:p>
        </w:tc>
        <w:tc>
          <w:tcPr>
            <w:tcW w:w="1421" w:type="dxa"/>
            <w:vAlign w:val="center"/>
          </w:tcPr>
          <w:p w14:paraId="591D43E6">
            <w:pPr>
              <w:spacing w:before="156" w:beforeLines="50" w:line="500" w:lineRule="exact"/>
              <w:jc w:val="center"/>
              <w:rPr>
                <w:rFonts w:hint="eastAsia" w:ascii="宋体" w:hAnsi="宋体" w:eastAsia="宋体" w:cs="宋体"/>
                <w:sz w:val="28"/>
                <w:szCs w:val="28"/>
              </w:rPr>
            </w:pPr>
            <w:r>
              <w:rPr>
                <w:rFonts w:hint="eastAsia" w:ascii="宋体" w:hAnsi="宋体" w:eastAsia="宋体" w:cs="宋体"/>
                <w:sz w:val="28"/>
                <w:szCs w:val="28"/>
              </w:rPr>
              <w:t>2027年</w:t>
            </w:r>
          </w:p>
        </w:tc>
      </w:tr>
      <w:tr w14:paraId="5A286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14:paraId="0FFCA54A">
            <w:pPr>
              <w:spacing w:before="156" w:beforeLines="50" w:line="500" w:lineRule="exact"/>
              <w:jc w:val="center"/>
              <w:rPr>
                <w:rFonts w:hint="eastAsia" w:ascii="宋体" w:hAnsi="宋体" w:eastAsia="宋体" w:cs="宋体"/>
                <w:sz w:val="15"/>
                <w:szCs w:val="15"/>
              </w:rPr>
            </w:pPr>
            <w:r>
              <w:rPr>
                <w:rFonts w:hint="eastAsia" w:ascii="宋体" w:hAnsi="宋体" w:eastAsia="宋体" w:cs="宋体"/>
                <w:sz w:val="15"/>
                <w:szCs w:val="15"/>
              </w:rPr>
              <w:t>熔铸工艺斜率值</w:t>
            </w:r>
          </w:p>
        </w:tc>
        <w:tc>
          <w:tcPr>
            <w:tcW w:w="1420" w:type="dxa"/>
            <w:vAlign w:val="center"/>
          </w:tcPr>
          <w:p w14:paraId="6A5DCAB7">
            <w:pPr>
              <w:spacing w:before="156" w:beforeLines="50" w:line="500" w:lineRule="exact"/>
              <w:jc w:val="center"/>
              <w:rPr>
                <w:rFonts w:hint="eastAsia" w:ascii="宋体" w:hAnsi="宋体" w:eastAsia="宋体" w:cs="宋体"/>
                <w:sz w:val="28"/>
                <w:szCs w:val="28"/>
              </w:rPr>
            </w:pPr>
            <w:r>
              <w:rPr>
                <w:rFonts w:hint="eastAsia" w:ascii="宋体" w:hAnsi="宋体" w:eastAsia="宋体" w:cs="宋体"/>
                <w:sz w:val="28"/>
                <w:szCs w:val="28"/>
              </w:rPr>
              <w:t>0.277</w:t>
            </w:r>
          </w:p>
        </w:tc>
        <w:tc>
          <w:tcPr>
            <w:tcW w:w="1420" w:type="dxa"/>
            <w:vAlign w:val="center"/>
          </w:tcPr>
          <w:p w14:paraId="2B36CF95">
            <w:pPr>
              <w:spacing w:before="156" w:beforeLines="50" w:line="500" w:lineRule="exact"/>
              <w:jc w:val="center"/>
              <w:rPr>
                <w:rFonts w:hint="eastAsia" w:ascii="宋体" w:hAnsi="宋体" w:eastAsia="宋体" w:cs="宋体"/>
                <w:sz w:val="28"/>
                <w:szCs w:val="28"/>
              </w:rPr>
            </w:pPr>
            <w:r>
              <w:rPr>
                <w:rFonts w:hint="eastAsia" w:ascii="宋体" w:hAnsi="宋体" w:eastAsia="宋体" w:cs="宋体"/>
                <w:sz w:val="28"/>
                <w:szCs w:val="28"/>
              </w:rPr>
              <w:t>0.272</w:t>
            </w:r>
          </w:p>
        </w:tc>
        <w:tc>
          <w:tcPr>
            <w:tcW w:w="1420" w:type="dxa"/>
            <w:vAlign w:val="center"/>
          </w:tcPr>
          <w:p w14:paraId="70C65FB1">
            <w:pPr>
              <w:spacing w:before="156" w:beforeLines="50" w:line="500" w:lineRule="exact"/>
              <w:jc w:val="center"/>
              <w:rPr>
                <w:rFonts w:hint="eastAsia" w:ascii="宋体" w:hAnsi="宋体" w:eastAsia="宋体" w:cs="宋体"/>
                <w:sz w:val="28"/>
                <w:szCs w:val="28"/>
              </w:rPr>
            </w:pPr>
            <w:r>
              <w:rPr>
                <w:rFonts w:hint="eastAsia" w:ascii="宋体" w:hAnsi="宋体" w:eastAsia="宋体" w:cs="宋体"/>
                <w:sz w:val="28"/>
                <w:szCs w:val="28"/>
              </w:rPr>
              <w:t>0.267</w:t>
            </w:r>
          </w:p>
        </w:tc>
        <w:tc>
          <w:tcPr>
            <w:tcW w:w="1421" w:type="dxa"/>
            <w:vAlign w:val="center"/>
          </w:tcPr>
          <w:p w14:paraId="0551FDF8">
            <w:pPr>
              <w:spacing w:before="156" w:beforeLines="50" w:line="500" w:lineRule="exact"/>
              <w:jc w:val="center"/>
              <w:rPr>
                <w:rFonts w:hint="eastAsia" w:ascii="宋体" w:hAnsi="宋体" w:eastAsia="宋体" w:cs="宋体"/>
                <w:sz w:val="28"/>
                <w:szCs w:val="28"/>
              </w:rPr>
            </w:pPr>
            <w:r>
              <w:rPr>
                <w:rFonts w:hint="eastAsia" w:ascii="宋体" w:hAnsi="宋体" w:eastAsia="宋体" w:cs="宋体"/>
                <w:sz w:val="28"/>
                <w:szCs w:val="28"/>
              </w:rPr>
              <w:t>0.263</w:t>
            </w:r>
          </w:p>
        </w:tc>
        <w:tc>
          <w:tcPr>
            <w:tcW w:w="1421" w:type="dxa"/>
            <w:vAlign w:val="center"/>
          </w:tcPr>
          <w:p w14:paraId="3588BF87">
            <w:pPr>
              <w:spacing w:before="156" w:beforeLines="50" w:line="500" w:lineRule="exact"/>
              <w:jc w:val="center"/>
              <w:rPr>
                <w:rFonts w:hint="eastAsia" w:ascii="宋体" w:hAnsi="宋体" w:eastAsia="宋体" w:cs="宋体"/>
                <w:sz w:val="28"/>
                <w:szCs w:val="28"/>
              </w:rPr>
            </w:pPr>
            <w:r>
              <w:rPr>
                <w:rFonts w:hint="eastAsia" w:ascii="宋体" w:hAnsi="宋体" w:eastAsia="宋体" w:cs="宋体"/>
                <w:sz w:val="28"/>
                <w:szCs w:val="28"/>
              </w:rPr>
              <w:t>0.259</w:t>
            </w:r>
          </w:p>
        </w:tc>
      </w:tr>
      <w:tr w14:paraId="45407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14:paraId="5BE55DC8">
            <w:pPr>
              <w:spacing w:before="156" w:beforeLines="50" w:line="500" w:lineRule="exact"/>
              <w:jc w:val="center"/>
              <w:rPr>
                <w:rFonts w:hint="eastAsia" w:ascii="宋体" w:hAnsi="宋体" w:eastAsia="宋体" w:cs="宋体"/>
                <w:sz w:val="15"/>
                <w:szCs w:val="15"/>
              </w:rPr>
            </w:pPr>
            <w:r>
              <w:rPr>
                <w:rFonts w:hint="eastAsia" w:ascii="宋体" w:hAnsi="宋体" w:eastAsia="宋体" w:cs="宋体"/>
                <w:sz w:val="15"/>
                <w:szCs w:val="15"/>
              </w:rPr>
              <w:t>熔铸采购斜率值</w:t>
            </w:r>
          </w:p>
        </w:tc>
        <w:tc>
          <w:tcPr>
            <w:tcW w:w="1420" w:type="dxa"/>
            <w:vAlign w:val="center"/>
          </w:tcPr>
          <w:p w14:paraId="094BB965">
            <w:pPr>
              <w:spacing w:before="156" w:beforeLines="50" w:line="500" w:lineRule="exact"/>
              <w:jc w:val="center"/>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5.8</w:t>
            </w:r>
          </w:p>
        </w:tc>
        <w:tc>
          <w:tcPr>
            <w:tcW w:w="1420" w:type="dxa"/>
            <w:vAlign w:val="center"/>
          </w:tcPr>
          <w:p w14:paraId="39141535">
            <w:pPr>
              <w:spacing w:before="156" w:beforeLines="50" w:line="500" w:lineRule="exact"/>
              <w:jc w:val="center"/>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5.6</w:t>
            </w:r>
          </w:p>
        </w:tc>
        <w:tc>
          <w:tcPr>
            <w:tcW w:w="1420" w:type="dxa"/>
            <w:vAlign w:val="center"/>
          </w:tcPr>
          <w:p w14:paraId="527E70F6">
            <w:pPr>
              <w:spacing w:before="156" w:beforeLines="50" w:line="500" w:lineRule="exact"/>
              <w:jc w:val="center"/>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5.4</w:t>
            </w:r>
          </w:p>
        </w:tc>
        <w:tc>
          <w:tcPr>
            <w:tcW w:w="1421" w:type="dxa"/>
            <w:vAlign w:val="center"/>
          </w:tcPr>
          <w:p w14:paraId="57C07DFC">
            <w:pPr>
              <w:spacing w:before="156" w:beforeLines="50" w:line="500" w:lineRule="exact"/>
              <w:jc w:val="center"/>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5.1</w:t>
            </w:r>
          </w:p>
        </w:tc>
        <w:tc>
          <w:tcPr>
            <w:tcW w:w="1421" w:type="dxa"/>
            <w:vAlign w:val="center"/>
          </w:tcPr>
          <w:p w14:paraId="0EAE069D">
            <w:pPr>
              <w:spacing w:before="156" w:beforeLines="50" w:line="500" w:lineRule="exact"/>
              <w:jc w:val="center"/>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5.1</w:t>
            </w:r>
          </w:p>
        </w:tc>
      </w:tr>
    </w:tbl>
    <w:p w14:paraId="060EA425">
      <w:pPr>
        <w:numPr>
          <w:ilvl w:val="0"/>
          <w:numId w:val="0"/>
        </w:numPr>
        <w:spacing w:before="156" w:beforeLines="50" w:line="500" w:lineRule="exact"/>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ascii="宋体" w:hAnsi="宋体" w:eastAsia="宋体" w:cs="宋体"/>
          <w:sz w:val="28"/>
          <w:szCs w:val="28"/>
        </w:rPr>
        <w:t>培训与宣传：在公司范围内宣导有效使用和节约能资源的宣传和培训</w:t>
      </w:r>
      <w:r>
        <w:rPr>
          <w:rFonts w:hint="eastAsia" w:ascii="宋体" w:hAnsi="宋体" w:eastAsia="宋体" w:cs="宋体"/>
          <w:sz w:val="28"/>
          <w:szCs w:val="28"/>
        </w:rPr>
        <w:t>。</w:t>
      </w:r>
    </w:p>
    <w:p w14:paraId="6BA86BF8">
      <w:pPr>
        <w:spacing w:before="156" w:beforeLines="50" w:line="500" w:lineRule="exact"/>
        <w:rPr>
          <w:rFonts w:hint="eastAsia" w:ascii="宋体" w:hAnsi="宋体" w:eastAsia="宋体" w:cs="宋体"/>
          <w:sz w:val="28"/>
          <w:szCs w:val="28"/>
        </w:rPr>
      </w:pPr>
    </w:p>
    <w:p w14:paraId="3742F0A5">
      <w:pPr>
        <w:spacing w:before="156" w:beforeLines="50" w:line="500" w:lineRule="exact"/>
        <w:jc w:val="right"/>
        <w:rPr>
          <w:rFonts w:hint="eastAsia" w:ascii="宋体" w:hAnsi="宋体" w:eastAsia="宋体" w:cs="宋体"/>
          <w:sz w:val="28"/>
          <w:szCs w:val="28"/>
        </w:rPr>
      </w:pPr>
      <w:r>
        <w:rPr>
          <w:rFonts w:hint="eastAsia" w:ascii="宋体" w:hAnsi="宋体" w:eastAsia="宋体" w:cs="宋体"/>
          <w:sz w:val="28"/>
          <w:szCs w:val="28"/>
        </w:rPr>
        <w:t>广东隆达铝业有限公司</w:t>
      </w:r>
    </w:p>
    <w:p w14:paraId="1E16C4FB">
      <w:pPr>
        <w:spacing w:before="156" w:beforeLines="50" w:line="500" w:lineRule="exact"/>
        <w:ind w:firstLine="3920" w:firstLineChars="1400"/>
        <w:rPr>
          <w:rFonts w:hint="default" w:ascii="宋体" w:hAnsi="宋体" w:eastAsia="宋体" w:cs="宋体"/>
          <w:sz w:val="28"/>
          <w:szCs w:val="28"/>
          <w:lang w:val="en-US" w:eastAsia="zh-CN"/>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2024年03月12日</w:t>
      </w:r>
    </w:p>
    <w:sectPr>
      <w:headerReference r:id="rId5" w:type="first"/>
      <w:footerReference r:id="rId7" w:type="first"/>
      <w:headerReference r:id="rId3" w:type="default"/>
      <w:headerReference r:id="rId4" w:type="even"/>
      <w:footerReference r:id="rId6"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C3BCC">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23E00B">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8DFD5">
    <w:pPr>
      <w:pStyle w:val="3"/>
    </w:pPr>
    <w:r>
      <w:rPr>
        <w:rFonts w:hint="eastAsia"/>
      </w:rPr>
      <w:t>附件</w:t>
    </w:r>
    <w:r>
      <w:rPr>
        <w:rFonts w:hint="eastAsia"/>
        <w:lang w:val="en-US" w:eastAsia="zh-CN"/>
      </w:rPr>
      <w:t>九                                                     AO版             保存期限：3年</w:t>
    </w:r>
    <w:r>
      <w:rPr>
        <w:rFonts w:hint="default"/>
        <w:lang w:val="en-US"/>
      </w:rPr>
      <w:drawing>
        <wp:anchor distT="0" distB="0" distL="114300" distR="114300" simplePos="0" relativeHeight="251659264" behindDoc="0" locked="0" layoutInCell="0" allowOverlap="1">
          <wp:simplePos x="0" y="0"/>
          <wp:positionH relativeFrom="margin">
            <wp:posOffset>-1024890</wp:posOffset>
          </wp:positionH>
          <wp:positionV relativeFrom="paragraph">
            <wp:posOffset>-86995</wp:posOffset>
          </wp:positionV>
          <wp:extent cx="970915" cy="247015"/>
          <wp:effectExtent l="0" t="0" r="4445" b="12065"/>
          <wp:wrapSquare wrapText="bothSides"/>
          <wp:docPr id="2" name="图片 257407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57407071"/>
                  <pic:cNvPicPr>
                    <a:picLocks noChangeAspect="1"/>
                  </pic:cNvPicPr>
                </pic:nvPicPr>
                <pic:blipFill>
                  <a:blip r:embed="rId1"/>
                  <a:stretch>
                    <a:fillRect/>
                  </a:stretch>
                </pic:blipFill>
                <pic:spPr>
                  <a:xfrm>
                    <a:off x="0" y="0"/>
                    <a:ext cx="970915" cy="247015"/>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E048E">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16001D">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526D0C"/>
    <w:multiLevelType w:val="singleLevel"/>
    <w:tmpl w:val="C2526D0C"/>
    <w:lvl w:ilvl="0" w:tentative="0">
      <w:start w:val="1"/>
      <w:numFmt w:val="chineseCounting"/>
      <w:suff w:val="nothing"/>
      <w:lvlText w:val="%1、"/>
      <w:lvlJc w:val="left"/>
      <w:rPr>
        <w:rFonts w:hint="eastAsia"/>
      </w:rPr>
    </w:lvl>
  </w:abstractNum>
  <w:abstractNum w:abstractNumId="1">
    <w:nsid w:val="FA077EE6"/>
    <w:multiLevelType w:val="singleLevel"/>
    <w:tmpl w:val="FA077EE6"/>
    <w:lvl w:ilvl="0" w:tentative="0">
      <w:start w:val="3"/>
      <w:numFmt w:val="decimal"/>
      <w:suff w:val="nothing"/>
      <w:lvlText w:val="%1、"/>
      <w:lvlJc w:val="left"/>
    </w:lvl>
  </w:abstractNum>
  <w:abstractNum w:abstractNumId="2">
    <w:nsid w:val="3ABEBF2B"/>
    <w:multiLevelType w:val="singleLevel"/>
    <w:tmpl w:val="3ABEBF2B"/>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mYjM2MjZhYWQxNDkxYWRkNzk2M2Y1MjlkOGViMGEifQ=="/>
  </w:docVars>
  <w:rsids>
    <w:rsidRoot w:val="028726D7"/>
    <w:rsid w:val="001626D0"/>
    <w:rsid w:val="001B2E56"/>
    <w:rsid w:val="00327ABC"/>
    <w:rsid w:val="004F6DCA"/>
    <w:rsid w:val="00622567"/>
    <w:rsid w:val="00711C2C"/>
    <w:rsid w:val="007F69B0"/>
    <w:rsid w:val="0082567F"/>
    <w:rsid w:val="00876634"/>
    <w:rsid w:val="00977DD2"/>
    <w:rsid w:val="00D469D8"/>
    <w:rsid w:val="00E8383A"/>
    <w:rsid w:val="0254362A"/>
    <w:rsid w:val="028726D7"/>
    <w:rsid w:val="02BC1AB4"/>
    <w:rsid w:val="02CD3C15"/>
    <w:rsid w:val="032559B3"/>
    <w:rsid w:val="03A2514E"/>
    <w:rsid w:val="03BE185C"/>
    <w:rsid w:val="04185410"/>
    <w:rsid w:val="044C330C"/>
    <w:rsid w:val="052B1173"/>
    <w:rsid w:val="05CF660F"/>
    <w:rsid w:val="05D62E8D"/>
    <w:rsid w:val="06C74ECC"/>
    <w:rsid w:val="072D4D2F"/>
    <w:rsid w:val="0854453D"/>
    <w:rsid w:val="091268D2"/>
    <w:rsid w:val="098826F0"/>
    <w:rsid w:val="0AF83348"/>
    <w:rsid w:val="0CD30126"/>
    <w:rsid w:val="0CDF143E"/>
    <w:rsid w:val="0D3D1A44"/>
    <w:rsid w:val="0E49413D"/>
    <w:rsid w:val="0F965C50"/>
    <w:rsid w:val="12257EE6"/>
    <w:rsid w:val="12710E99"/>
    <w:rsid w:val="132D4308"/>
    <w:rsid w:val="14BF4C46"/>
    <w:rsid w:val="1699418F"/>
    <w:rsid w:val="1711641B"/>
    <w:rsid w:val="173043C7"/>
    <w:rsid w:val="17371234"/>
    <w:rsid w:val="176C1304"/>
    <w:rsid w:val="193957B5"/>
    <w:rsid w:val="1A937147"/>
    <w:rsid w:val="1AA90718"/>
    <w:rsid w:val="1AF776D6"/>
    <w:rsid w:val="1C1F5136"/>
    <w:rsid w:val="1C266597"/>
    <w:rsid w:val="1D4D182F"/>
    <w:rsid w:val="1D880AB9"/>
    <w:rsid w:val="21366A7E"/>
    <w:rsid w:val="21771570"/>
    <w:rsid w:val="21F91F85"/>
    <w:rsid w:val="223702AD"/>
    <w:rsid w:val="22C81958"/>
    <w:rsid w:val="231E2A69"/>
    <w:rsid w:val="237C10C0"/>
    <w:rsid w:val="23A203FB"/>
    <w:rsid w:val="24262DDA"/>
    <w:rsid w:val="24A3267C"/>
    <w:rsid w:val="25F941B1"/>
    <w:rsid w:val="26353C7B"/>
    <w:rsid w:val="272B79BF"/>
    <w:rsid w:val="28B9246E"/>
    <w:rsid w:val="29F331F0"/>
    <w:rsid w:val="2A293624"/>
    <w:rsid w:val="2A612DBE"/>
    <w:rsid w:val="2ABB70C0"/>
    <w:rsid w:val="2ACA2711"/>
    <w:rsid w:val="2BC1560F"/>
    <w:rsid w:val="2C6941AB"/>
    <w:rsid w:val="2EE45D6B"/>
    <w:rsid w:val="301663F8"/>
    <w:rsid w:val="3056693D"/>
    <w:rsid w:val="305C4389"/>
    <w:rsid w:val="30801AC4"/>
    <w:rsid w:val="31541EC1"/>
    <w:rsid w:val="324A2389"/>
    <w:rsid w:val="329B2BE5"/>
    <w:rsid w:val="32EB3B6C"/>
    <w:rsid w:val="34640A9B"/>
    <w:rsid w:val="34716C63"/>
    <w:rsid w:val="34B30BE2"/>
    <w:rsid w:val="3512487E"/>
    <w:rsid w:val="388434EC"/>
    <w:rsid w:val="391C033C"/>
    <w:rsid w:val="3A0C04C7"/>
    <w:rsid w:val="3AC02DC6"/>
    <w:rsid w:val="3CF0058E"/>
    <w:rsid w:val="3F724721"/>
    <w:rsid w:val="3F8F7E45"/>
    <w:rsid w:val="405C39B3"/>
    <w:rsid w:val="40974727"/>
    <w:rsid w:val="42D30CB2"/>
    <w:rsid w:val="430A3EE5"/>
    <w:rsid w:val="44366C11"/>
    <w:rsid w:val="44650D7A"/>
    <w:rsid w:val="44C71617"/>
    <w:rsid w:val="450B59A8"/>
    <w:rsid w:val="45725A27"/>
    <w:rsid w:val="45B778DE"/>
    <w:rsid w:val="4678706D"/>
    <w:rsid w:val="46A75BA4"/>
    <w:rsid w:val="46DC3AA0"/>
    <w:rsid w:val="46FA5CD4"/>
    <w:rsid w:val="47961EA1"/>
    <w:rsid w:val="48C269A2"/>
    <w:rsid w:val="493279A7"/>
    <w:rsid w:val="4BF47196"/>
    <w:rsid w:val="4CD1742E"/>
    <w:rsid w:val="4FC82E13"/>
    <w:rsid w:val="51C94C21"/>
    <w:rsid w:val="542C689B"/>
    <w:rsid w:val="54717DB0"/>
    <w:rsid w:val="54FA3343"/>
    <w:rsid w:val="551E5284"/>
    <w:rsid w:val="55BD3B9E"/>
    <w:rsid w:val="564B3E56"/>
    <w:rsid w:val="56770AE3"/>
    <w:rsid w:val="58095CBB"/>
    <w:rsid w:val="58DC7930"/>
    <w:rsid w:val="5947124D"/>
    <w:rsid w:val="5A44753A"/>
    <w:rsid w:val="5C762DFB"/>
    <w:rsid w:val="5F84662B"/>
    <w:rsid w:val="60695F4D"/>
    <w:rsid w:val="60D94755"/>
    <w:rsid w:val="61FA2BD4"/>
    <w:rsid w:val="62035F2D"/>
    <w:rsid w:val="62410803"/>
    <w:rsid w:val="6263077A"/>
    <w:rsid w:val="6393508F"/>
    <w:rsid w:val="639F1C85"/>
    <w:rsid w:val="640B48FA"/>
    <w:rsid w:val="64754DD6"/>
    <w:rsid w:val="6723664B"/>
    <w:rsid w:val="67AB0BF9"/>
    <w:rsid w:val="67B65E66"/>
    <w:rsid w:val="68662D72"/>
    <w:rsid w:val="68F55EA4"/>
    <w:rsid w:val="693D1D24"/>
    <w:rsid w:val="696077C1"/>
    <w:rsid w:val="6AFE1987"/>
    <w:rsid w:val="6D492F04"/>
    <w:rsid w:val="6DFB5D0A"/>
    <w:rsid w:val="6E0B0643"/>
    <w:rsid w:val="6F14443F"/>
    <w:rsid w:val="70E50574"/>
    <w:rsid w:val="712437CA"/>
    <w:rsid w:val="7258197D"/>
    <w:rsid w:val="736F63F7"/>
    <w:rsid w:val="74A80825"/>
    <w:rsid w:val="77135365"/>
    <w:rsid w:val="77982104"/>
    <w:rsid w:val="787F1047"/>
    <w:rsid w:val="78D14237"/>
    <w:rsid w:val="798474FC"/>
    <w:rsid w:val="79CF007E"/>
    <w:rsid w:val="79FC7092"/>
    <w:rsid w:val="7A9520D7"/>
    <w:rsid w:val="7B315461"/>
    <w:rsid w:val="7E735B1A"/>
    <w:rsid w:val="7E7F64E4"/>
    <w:rsid w:val="7E924469"/>
    <w:rsid w:val="7FBB17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786</Words>
  <Characters>924</Characters>
  <Lines>1</Lines>
  <Paragraphs>1</Paragraphs>
  <TotalTime>0</TotalTime>
  <ScaleCrop>false</ScaleCrop>
  <LinksUpToDate>false</LinksUpToDate>
  <CharactersWithSpaces>958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2024-08-27T02:55:00Z</dcterms:created>
  <dc:creator>杨明娟</dc:creator>
  <cp:lastModifiedBy>Administrator</cp:lastModifiedBy>
  <cp:lastPrinted>2024-09-13T09:24:00Z</cp:lastPrinted>
  <dcterms:modified xsi:type="dcterms:W3CDTF">2024-11-01T07:44:19Z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F6810EE5D2514323ADCBFD15044F105E_11</vt:lpwstr>
  </property>
</Properties>
</file>